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443 по Протокол № 63 от 11.06.2026 г. на Столичния общински съвет, обявено на 12.06.2026 г., изменено с Решение № 496 по Протокол № 64 от 25.06.2026 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Столичния общински съвет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обявено на 25.06.2026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 допуска лице, което: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- в сферата на: публична администрация, мениджмънт, бизнес управление, икономика, право, държавно управление, логистика, финанси, счетоводство и одит и други.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някоя от областите: „Социални, стопански и правни науки“ или „Природни науки, математика и информатика“, или „Технически науки“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Запад“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0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C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Борис Гарчев,  тел. 02/ 986 28 15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b.garchev@sofia.bg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длъжност: началник отдел “Административно и организационно осигуряване на заседанията” </w:t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9rlhvxu3tfx" w:id="4"/>
      <w:bookmarkEnd w:id="4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.garchev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DYV0OA0+D0p2rkLwh1/5GMszw==">CgMxLjAyDmguaWo5dGs0bTM2OXA4Mg5oLnltOGs3dXFubWhwdDIOaC5tN3JodmpuendpOWQyDWguZTBhaDNwaTNsc24yDmguZDlybGh2eHUzdGZ4OAByITFOaFh1ZHlPc19oUE52ZGJaYnFjM0FPamd6ZFVsb2hJVw==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