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yyayzfqepl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443 по Протокол № 63 от 11.06.2026 г.  на Столичния общински съвет, обявено на 12.06.2026 г., изменено с Решение № 496 по Протокол № 64 от 25.06.2026 г., обявено на 25.06.2026 г. на Столичния общински съвет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Север“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Север“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 допуска лице, което: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1-35,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Север“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- в сферата на: публична администрация, мениджмънт, бизнес управление, икономика, право, държавно управление, логистика, финанси, счетоводство и одит и други.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някоя от областите: „Социални, стопански и правни науки“ или „Природни науки, математика и информатика“, или „Технически науки“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Север“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Борис Гарчев,  тел. 02/ 986 28 15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b.garchev@sofia.bg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длъжност: началник отдел “Административно и организационно осигуряване на заседанията” 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q5230ddtn81" w:id="5"/>
      <w:bookmarkEnd w:id="5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.garchev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8/X1F0nM19vchIc+sfuKRFHgpw==">CgMxLjAyDmguaWo5dGs0bTM2OXA4Mg5oLjJ5eWF5emZxZXBsOTIOaC55bThrN3Vxbm1ocHQyDmgubTdyaHZqbnp3aTlkMg1oLmUwYWgzcGkzbHNuMg5oLnRxNTIzMGRkdG44MTgAciExcmdWUUdDSTNYWGs4dkM5ZHNiZ1A4bTF6TkV4N2h4T2Y=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